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0C80" w:rsidRPr="000E0C80" w:rsidRDefault="000E0C80" w:rsidP="000E0C80">
      <w:pPr>
        <w:pStyle w:val="a6"/>
        <w:ind w:firstLine="851"/>
        <w:rPr>
          <w:rFonts w:ascii="Arial" w:hAnsi="Arial" w:cs="Arial"/>
          <w:b/>
          <w:color w:val="000000" w:themeColor="text1"/>
          <w:szCs w:val="18"/>
          <w:lang w:eastAsia="ru-RU"/>
        </w:rPr>
      </w:pPr>
      <w:r w:rsidRPr="000E0C80">
        <w:rPr>
          <w:rFonts w:ascii="Arial" w:hAnsi="Arial" w:cs="Arial"/>
          <w:b/>
          <w:bCs/>
          <w:color w:val="000000" w:themeColor="text1"/>
          <w:sz w:val="32"/>
          <w:szCs w:val="24"/>
          <w:bdr w:val="none" w:sz="0" w:space="0" w:color="auto" w:frame="1"/>
          <w:lang w:eastAsia="ru-RU"/>
        </w:rPr>
        <w:t>ПАМЯТКА ВЛАДЕЛЬЦУ ОРУЖИЯ</w:t>
      </w:r>
    </w:p>
    <w:p w:rsidR="000E0C80" w:rsidRPr="000E0C80" w:rsidRDefault="005A7B3C" w:rsidP="000E0C80">
      <w:pPr>
        <w:pStyle w:val="a6"/>
        <w:ind w:firstLine="851"/>
        <w:rPr>
          <w:rFonts w:ascii="Arial" w:hAnsi="Arial" w:cs="Arial"/>
          <w:b/>
          <w:color w:val="000000" w:themeColor="text1"/>
          <w:sz w:val="18"/>
          <w:szCs w:val="18"/>
          <w:lang w:eastAsia="ru-RU"/>
        </w:rPr>
      </w:pPr>
      <w:hyperlink r:id="rId5" w:tgtFrame="_blank" w:history="1">
        <w:r w:rsidR="000E0C80" w:rsidRPr="000E0C80">
          <w:rPr>
            <w:rFonts w:ascii="Arial" w:hAnsi="Arial" w:cs="Arial"/>
            <w:b/>
            <w:color w:val="000000" w:themeColor="text1"/>
            <w:sz w:val="24"/>
            <w:szCs w:val="24"/>
            <w:u w:val="single"/>
            <w:bdr w:val="none" w:sz="0" w:space="0" w:color="auto" w:frame="1"/>
            <w:lang w:eastAsia="ru-RU"/>
          </w:rPr>
          <w:t>Закон "Об оружии</w:t>
        </w:r>
        <w:r w:rsidR="000E0C80" w:rsidRPr="000E0C80">
          <w:rPr>
            <w:b/>
            <w:color w:val="000000" w:themeColor="text1"/>
            <w:sz w:val="24"/>
            <w:szCs w:val="24"/>
            <w:u w:val="single"/>
            <w:bdr w:val="none" w:sz="0" w:space="0" w:color="auto" w:frame="1"/>
            <w:lang w:eastAsia="ru-RU"/>
          </w:rPr>
          <w:t>"</w:t>
        </w:r>
      </w:hyperlink>
    </w:p>
    <w:p w:rsidR="000E0C80" w:rsidRPr="005A7B3C" w:rsidRDefault="005A7B3C" w:rsidP="000E0C80">
      <w:pPr>
        <w:pStyle w:val="a6"/>
        <w:ind w:firstLine="851"/>
        <w:rPr>
          <w:rFonts w:ascii="Arial" w:hAnsi="Arial" w:cs="Arial"/>
          <w:i/>
          <w:color w:val="000000" w:themeColor="text1"/>
          <w:sz w:val="18"/>
          <w:szCs w:val="18"/>
          <w:lang w:eastAsia="ru-RU"/>
        </w:rPr>
      </w:pPr>
      <w:hyperlink r:id="rId6" w:tgtFrame="_blank" w:history="1">
        <w:r w:rsidR="000E0C80" w:rsidRPr="005A7B3C">
          <w:rPr>
            <w:i/>
            <w:color w:val="000000" w:themeColor="text1"/>
            <w:sz w:val="24"/>
            <w:szCs w:val="24"/>
            <w:u w:val="single"/>
            <w:bdr w:val="none" w:sz="0" w:space="0" w:color="auto" w:frame="1"/>
            <w:lang w:eastAsia="ru-RU"/>
          </w:rPr>
          <w:t>Указ Президента Республики Беларусь от 30 августа 2002 г. № 473 «О мерах по совершенствованию регулирования оборота боевого, служебного, гражданского оружия и боеприпасов к нему на территории Республики Беларусь»</w:t>
        </w:r>
      </w:hyperlink>
    </w:p>
    <w:p w:rsidR="000E0C80" w:rsidRPr="005A7B3C" w:rsidRDefault="005A7B3C" w:rsidP="000E0C80">
      <w:pPr>
        <w:pStyle w:val="a6"/>
        <w:ind w:firstLine="851"/>
        <w:rPr>
          <w:rFonts w:ascii="Arial" w:hAnsi="Arial" w:cs="Arial"/>
          <w:i/>
          <w:color w:val="000000" w:themeColor="text1"/>
          <w:sz w:val="18"/>
          <w:szCs w:val="18"/>
          <w:lang w:eastAsia="ru-RU"/>
        </w:rPr>
      </w:pPr>
      <w:hyperlink r:id="rId7" w:tgtFrame="_blank" w:history="1">
        <w:r w:rsidR="000E0C80" w:rsidRPr="005A7B3C">
          <w:rPr>
            <w:i/>
            <w:color w:val="000000" w:themeColor="text1"/>
            <w:sz w:val="24"/>
            <w:szCs w:val="24"/>
            <w:u w:val="single"/>
            <w:bdr w:val="none" w:sz="0" w:space="0" w:color="auto" w:frame="1"/>
            <w:lang w:eastAsia="ru-RU"/>
          </w:rPr>
          <w:t>Указ Президента Республики Беларусь от 1 сентября 2010 г. № 450 «О лицензировании отдельных видов деятельности»</w:t>
        </w:r>
      </w:hyperlink>
    </w:p>
    <w:p w:rsidR="000E0C80" w:rsidRPr="005A7B3C" w:rsidRDefault="005A7B3C" w:rsidP="000E0C80">
      <w:pPr>
        <w:pStyle w:val="a6"/>
        <w:ind w:firstLine="851"/>
        <w:rPr>
          <w:rFonts w:ascii="Arial" w:hAnsi="Arial" w:cs="Arial"/>
          <w:i/>
          <w:color w:val="000000" w:themeColor="text1"/>
          <w:sz w:val="18"/>
          <w:szCs w:val="18"/>
          <w:lang w:eastAsia="ru-RU"/>
        </w:rPr>
      </w:pPr>
      <w:hyperlink r:id="rId8" w:tgtFrame="_blank" w:history="1">
        <w:r w:rsidR="000E0C80" w:rsidRPr="005A7B3C">
          <w:rPr>
            <w:i/>
            <w:color w:val="000000" w:themeColor="text1"/>
            <w:sz w:val="24"/>
            <w:szCs w:val="24"/>
            <w:u w:val="single"/>
            <w:bdr w:val="none" w:sz="0" w:space="0" w:color="auto" w:frame="1"/>
            <w:lang w:eastAsia="ru-RU"/>
          </w:rPr>
          <w:t>Постановление Министерства внутренних дел Республики Беларусь 1 июня 2012 г. N 156</w:t>
        </w:r>
      </w:hyperlink>
    </w:p>
    <w:p w:rsidR="000E0C80" w:rsidRPr="005A7B3C" w:rsidRDefault="005A7B3C" w:rsidP="000E0C80">
      <w:pPr>
        <w:pStyle w:val="a6"/>
        <w:ind w:firstLine="851"/>
        <w:rPr>
          <w:rFonts w:ascii="Arial" w:hAnsi="Arial" w:cs="Arial"/>
          <w:color w:val="000000" w:themeColor="text1"/>
          <w:sz w:val="18"/>
          <w:szCs w:val="18"/>
          <w:lang w:eastAsia="ru-RU"/>
        </w:rPr>
      </w:pPr>
      <w:hyperlink r:id="rId9" w:tgtFrame="_blank" w:history="1">
        <w:r w:rsidR="000E0C80" w:rsidRPr="005A7B3C">
          <w:rPr>
            <w:i/>
            <w:color w:val="000000" w:themeColor="text1"/>
            <w:sz w:val="24"/>
            <w:szCs w:val="24"/>
            <w:u w:val="single"/>
            <w:bdr w:val="none" w:sz="0" w:space="0" w:color="auto" w:frame="1"/>
            <w:lang w:eastAsia="ru-RU"/>
          </w:rPr>
          <w:t>Постановление МВД №383 от 29 ноября 2010 г. «Об утверждении Правил размещения оружия, его составных частей и компонентов, боеприпасов при осуществлении деятельности, связанной со служебным и гражданским оружием и боеприпасами к нему, коллекционированием и экспонированием оружия и боеприпасов и признании утратившими силу некоторых постановлений и структурного элемента постановления Министерства внутренних дел Республики Беларусь»</w:t>
        </w:r>
      </w:hyperlink>
    </w:p>
    <w:p w:rsidR="000E0C80" w:rsidRDefault="000E0C80" w:rsidP="000E0C80">
      <w:pPr>
        <w:pStyle w:val="a6"/>
        <w:ind w:firstLine="851"/>
        <w:rPr>
          <w:rFonts w:ascii="Arial" w:hAnsi="Arial" w:cs="Arial"/>
          <w:color w:val="000000" w:themeColor="text1"/>
          <w:sz w:val="18"/>
          <w:szCs w:val="18"/>
          <w:lang w:eastAsia="ru-RU"/>
        </w:rPr>
      </w:pPr>
    </w:p>
    <w:p w:rsidR="000E0C80" w:rsidRPr="000E0C80" w:rsidRDefault="000E0C80" w:rsidP="000E0C80">
      <w:pPr>
        <w:pStyle w:val="a6"/>
        <w:ind w:firstLine="851"/>
        <w:rPr>
          <w:rFonts w:ascii="Arial" w:hAnsi="Arial" w:cs="Arial"/>
          <w:color w:val="000000" w:themeColor="text1"/>
          <w:kern w:val="36"/>
          <w:sz w:val="42"/>
          <w:szCs w:val="42"/>
          <w:lang w:eastAsia="ru-RU"/>
        </w:rPr>
      </w:pPr>
      <w:r w:rsidRPr="005A7B3C">
        <w:rPr>
          <w:b/>
          <w:color w:val="000000" w:themeColor="text1"/>
          <w:kern w:val="36"/>
          <w:sz w:val="24"/>
          <w:szCs w:val="24"/>
          <w:bdr w:val="none" w:sz="0" w:space="0" w:color="auto" w:frame="1"/>
          <w:shd w:val="clear" w:color="auto" w:fill="FFFFFF"/>
          <w:lang w:eastAsia="ru-RU"/>
        </w:rPr>
        <w:t>Владелец оружия должен</w:t>
      </w:r>
      <w:r w:rsidRPr="000E0C80">
        <w:rPr>
          <w:color w:val="000000" w:themeColor="text1"/>
          <w:kern w:val="36"/>
          <w:sz w:val="24"/>
          <w:szCs w:val="24"/>
          <w:bdr w:val="none" w:sz="0" w:space="0" w:color="auto" w:frame="1"/>
          <w:shd w:val="clear" w:color="auto" w:fill="FFFFFF"/>
          <w:lang w:eastAsia="ru-RU"/>
        </w:rPr>
        <w:t xml:space="preserve"> знать и соблюдать установленные законодательством требования порядка оборота оружия и боеприпасов к нему на территории Республики Беларусь.</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Гражданам разрешается иметь в собственности гражданское оружие, к которому относится оружие самообороны, охотничье, спортивное и сигнальное оружие, и использовать его только по целевому назначению (для самообороны, занятий спортом или охоты).</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 </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Основанием для хранения и ношения гражданского оружия и боеприпасов к нему является полученное в органах внутренних дел соответствующее разрешение, срок действия которого — три года. Для его продления владелец оружия должен обратиться в орган внутренних дел по месту проживания за месяц до истечения срока действия разрешения.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Оружие и боеприпасы должны храниться по месту проживания владельцев с соблюдением условий, обеспечивающих их сохранность, безопасность хранения и исключающих доступ к ним посторонних лиц, в запирающихся на замок сейфах или металлических шкафах, ящиках из высокопрочных материалов либо в деревянных ящиках, обитых железом, при этом оружие должно быть разряжено и поставлено на предохранитель В целях дополнительного обеспечения сохранности оружия и боеприпасов рекомендуется прикрепить сейф, шкаф либо ящик для их хранения к полу и (или) стене, оборудовать помещение охранной сигнализацией.</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При перевозке(транспортировке) оружие должно быть оружие разряженным и упакованным в транспортную тару, футляр или чехол. При перевозке и транспортировании патроны могут быть упакованы в одну укупорку с оружием без досылания в патронник, снаряжения магазина или барабана.</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При перемене места жительства владелец оружия должен обратиться в орган внутренних дел по месту его регистрации с заявлением о снятии оружия с учета. По прибытии к новому месту жительства он обязан в 10-дневный срок обратиться в территориальный орган внутренних дел для постановки оружия на учет.</w:t>
      </w:r>
      <w:r w:rsidRPr="000E0C80">
        <w:rPr>
          <w:rFonts w:ascii="Arial" w:hAnsi="Arial" w:cs="Arial"/>
          <w:color w:val="000000" w:themeColor="text1"/>
          <w:sz w:val="18"/>
          <w:szCs w:val="18"/>
          <w:lang w:eastAsia="ru-RU"/>
        </w:rPr>
        <w:br/>
      </w:r>
      <w:r w:rsidRPr="000E0C80">
        <w:rPr>
          <w:color w:val="000000" w:themeColor="text1"/>
          <w:sz w:val="24"/>
          <w:szCs w:val="24"/>
          <w:bdr w:val="none" w:sz="0" w:space="0" w:color="auto" w:frame="1"/>
          <w:lang w:eastAsia="ru-RU"/>
        </w:rPr>
        <w:t>Гражданам запрещается хранить и использовать найденное или переданное оружие, собственниками которого они не являются. Такое оружие подлежит немедленной сдаче в органы внутренних дел.</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 xml:space="preserve">Лица, нарушающие требования порядка оборота оружия и боеприпасов, несут ответственность в соответствии с законодательством Республики Беларусь, а в отдельных </w:t>
      </w:r>
      <w:r w:rsidRPr="000E0C80">
        <w:rPr>
          <w:color w:val="000000" w:themeColor="text1"/>
          <w:sz w:val="24"/>
          <w:szCs w:val="24"/>
          <w:bdr w:val="none" w:sz="0" w:space="0" w:color="auto" w:frame="1"/>
          <w:lang w:eastAsia="ru-RU"/>
        </w:rPr>
        <w:lastRenderedPageBreak/>
        <w:t>случаях и аннулирование разрешений на хранение и ношение оружия сроком на 5 лет, изъятие оружия.</w:t>
      </w:r>
    </w:p>
    <w:p w:rsidR="005A7B3C" w:rsidRDefault="005A7B3C" w:rsidP="000E0C80">
      <w:pPr>
        <w:pStyle w:val="a6"/>
        <w:ind w:firstLine="851"/>
        <w:rPr>
          <w:rFonts w:ascii="Arial" w:hAnsi="Arial" w:cs="Arial"/>
          <w:b/>
          <w:bCs/>
          <w:color w:val="000000" w:themeColor="text1"/>
          <w:sz w:val="24"/>
          <w:szCs w:val="24"/>
          <w:bdr w:val="none" w:sz="0" w:space="0" w:color="auto" w:frame="1"/>
          <w:lang w:eastAsia="ru-RU"/>
        </w:rPr>
      </w:pP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Административная ответственность предусмотрена за:</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стрельбу из огнестрельного оружия в населенном пункте или в месте, не предназначенном для стрельбы из такого оружия;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 xml:space="preserve">незаконные ношение либо перевозку газового, пневматического и метательного </w:t>
      </w:r>
      <w:proofErr w:type="gramStart"/>
      <w:r w:rsidRPr="000E0C80">
        <w:rPr>
          <w:color w:val="000000" w:themeColor="text1"/>
          <w:sz w:val="24"/>
          <w:szCs w:val="24"/>
          <w:bdr w:val="none" w:sz="0" w:space="0" w:color="auto" w:frame="1"/>
          <w:lang w:eastAsia="ru-RU"/>
        </w:rPr>
        <w:t>оружия ;</w:t>
      </w:r>
      <w:proofErr w:type="gramEnd"/>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 xml:space="preserve">незаконные ношение либо перевозку холодного </w:t>
      </w:r>
      <w:proofErr w:type="gramStart"/>
      <w:r w:rsidRPr="000E0C80">
        <w:rPr>
          <w:color w:val="000000" w:themeColor="text1"/>
          <w:sz w:val="24"/>
          <w:szCs w:val="24"/>
          <w:bdr w:val="none" w:sz="0" w:space="0" w:color="auto" w:frame="1"/>
          <w:lang w:eastAsia="ru-RU"/>
        </w:rPr>
        <w:t>оружия ;</w:t>
      </w:r>
      <w:proofErr w:type="gramEnd"/>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нарушение правил хранения, использования, перевозки и пересылки огнестрельного оружия и боеприпасов;</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нарушение установленных сроков регистрации огнестрельного, газового, пневматического или метательного оружия, а равно установленных сроков продления действия разрешений на его хранение и ношение либо правил постановки его на учет при изменении места жительства;</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уклонение от реализации огнестрельного оружия или боеприпасов лицом, у которого аннулировано разрешение на их хранение;</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установку на гражданском оружии приспособления для бесшумной стрельбы или прицела (прицельного комплекса) ночного видения (за исключением прицелов для охоты);</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незаконные приобретение, передачу во владение, хранение, перевозку, пересылку или ношение охотничьего огнестрельного гладкоствольного оружия или боеприпасов к нему, либо незаконные приобретение, передачу во владение, перевозку, пересылку или ношение составных частей или компонентов охотничьего огнестрельного гладкоствольного оружия.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За незаконные изготовление, приобретение, передачу во владение, сбыт, хранение, перевозку, пересылку или ношение огнестрельного оружия (кроме охотничьего огнестрельного гладкоствольного оружия), составных частей и компонентов к нему, боеприпасов (кроме боеприпасов к охотничьему огнестрельному гладкоствольному оружию), взрывчатых веществ и взрывных устройств установлена </w:t>
      </w:r>
      <w:r w:rsidRPr="000E0C80">
        <w:rPr>
          <w:rFonts w:ascii="Arial" w:hAnsi="Arial" w:cs="Arial"/>
          <w:b/>
          <w:bCs/>
          <w:color w:val="000000" w:themeColor="text1"/>
          <w:sz w:val="24"/>
          <w:szCs w:val="24"/>
          <w:bdr w:val="none" w:sz="0" w:space="0" w:color="auto" w:frame="1"/>
          <w:lang w:eastAsia="ru-RU"/>
        </w:rPr>
        <w:t>уголовная ответственность</w:t>
      </w:r>
      <w:r w:rsidRPr="000E0C80">
        <w:rPr>
          <w:color w:val="000000" w:themeColor="text1"/>
          <w:sz w:val="24"/>
          <w:szCs w:val="24"/>
          <w:bdr w:val="none" w:sz="0" w:space="0" w:color="auto" w:frame="1"/>
          <w:lang w:eastAsia="ru-RU"/>
        </w:rPr>
        <w:t>, предусматривающая лишение свободы на срок до 12 лет с конфискацией имущества.</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За незаконные изготовление либо сбыт охотничьего огнестрельного гладкоствольного оружия, его составных частей, компонентов или боеприпасов к нему установлена </w:t>
      </w:r>
      <w:r w:rsidRPr="000E0C80">
        <w:rPr>
          <w:rFonts w:ascii="Arial" w:hAnsi="Arial" w:cs="Arial"/>
          <w:b/>
          <w:bCs/>
          <w:color w:val="000000" w:themeColor="text1"/>
          <w:sz w:val="24"/>
          <w:szCs w:val="24"/>
          <w:bdr w:val="none" w:sz="0" w:space="0" w:color="auto" w:frame="1"/>
          <w:lang w:eastAsia="ru-RU"/>
        </w:rPr>
        <w:t>уголовная ответственность</w:t>
      </w:r>
      <w:r w:rsidRPr="000E0C80">
        <w:rPr>
          <w:color w:val="000000" w:themeColor="text1"/>
          <w:sz w:val="24"/>
          <w:szCs w:val="24"/>
          <w:bdr w:val="none" w:sz="0" w:space="0" w:color="auto" w:frame="1"/>
          <w:lang w:eastAsia="ru-RU"/>
        </w:rPr>
        <w:t>, предусматривающая лишение свободы на срок до 5 лет.</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Кроме того, </w:t>
      </w:r>
      <w:r w:rsidRPr="000E0C80">
        <w:rPr>
          <w:rFonts w:ascii="Arial" w:hAnsi="Arial" w:cs="Arial"/>
          <w:b/>
          <w:bCs/>
          <w:color w:val="000000" w:themeColor="text1"/>
          <w:sz w:val="24"/>
          <w:szCs w:val="24"/>
          <w:bdr w:val="none" w:sz="0" w:space="0" w:color="auto" w:frame="1"/>
          <w:lang w:eastAsia="ru-RU"/>
        </w:rPr>
        <w:t>уголовную ответственность</w:t>
      </w:r>
      <w:r w:rsidRPr="000E0C80">
        <w:rPr>
          <w:color w:val="000000" w:themeColor="text1"/>
          <w:sz w:val="24"/>
          <w:szCs w:val="24"/>
          <w:bdr w:val="none" w:sz="0" w:space="0" w:color="auto" w:frame="1"/>
          <w:lang w:eastAsia="ru-RU"/>
        </w:rPr>
        <w:t> влекут подделка или умышленное уничтожение маркировки огнестрельного оружия, незаконные изготовление либо сбыт газового, пневматического, метательного или холодного оружия, ненадлежащее хранение огнестрельного оружия законным владельцем, создавшее условия для использования этого оружия другим лицом, повлекшее по неосторожности смерть человека либо причинение тяжкого телесного повреждения.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Лица, добровольно сдавшие в органы внутренних дел незаконно хранящиеся оружие и боеприпасы, освобождаются от административной и уголовной ответственности. О фактах незаконного хранения оружия Вы можете сообщить по телефону 102.</w:t>
      </w:r>
    </w:p>
    <w:p w:rsidR="005A7B3C" w:rsidRDefault="005A7B3C" w:rsidP="000E0C80">
      <w:pPr>
        <w:pStyle w:val="a6"/>
        <w:ind w:firstLine="851"/>
        <w:rPr>
          <w:rFonts w:ascii="Arial" w:hAnsi="Arial" w:cs="Arial"/>
          <w:b/>
          <w:bCs/>
          <w:color w:val="000000" w:themeColor="text1"/>
          <w:sz w:val="24"/>
          <w:szCs w:val="24"/>
          <w:bdr w:val="none" w:sz="0" w:space="0" w:color="auto" w:frame="1"/>
          <w:lang w:eastAsia="ru-RU"/>
        </w:rPr>
      </w:pP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ПРАВИЛА </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БЕЗОПАСНОГО ОБРАЩЕНИЯ С ОРУЖИЕМ (ИЗВЛЕЧЕНИЕ)</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ОБЩИЕ ПОЛОЖЕНИЯ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1. Настоящие Правила устанавливают порядок безопасного обращения с газовыми пистолетами и револьверами, огнестрельным спортивным и охотничьим оружием, пневматическим оружием с дульной энергией свыше 7.5 Дж, сигнальным и метательным оружием (далее, если не указано иное, — оружие).</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4. Владелец оружия обязан:</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lastRenderedPageBreak/>
        <w:t>4.1. хранить оружие и патроны по месту проживания (пребывания) с соблюдением условий, обеспечивающих их сохранность, безопасность хранения и исключающих доступ к ним посторонних лиц, в запирающихся на замок сейфах или металлических шкафах, ящиках из высокопрочных материалов либо в деревянных ящиках, обитых железом. При этом оружие должно быть разряжено и поставлено на предохранитель;</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4.2. всегда обращаться с оружием как с заряженным и готовым к производству выстрела;</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4.3. соблюдать требования безопасности, изложенные в паспорте (инструкции по эксплуатации) конкретной модели оружия;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4.4. во время спортивных мероприятий, учебных и тренировочных стрельб заряжать оружие и начинать стрельбу только с разрешения руководителя стрельб;</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4.5. проверять каналы ствола, а также составные части оружия до и после стрельбы, а также после падения оружия на наличие в (на) них посторонних предметов и при необходимости удалять их;</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 xml:space="preserve">4.6. приступать к стрельбе из оружия только после изучения его устройства, приемов разборки, сборки, заряжания и </w:t>
      </w:r>
      <w:proofErr w:type="spellStart"/>
      <w:r w:rsidRPr="000E0C80">
        <w:rPr>
          <w:color w:val="000000" w:themeColor="text1"/>
          <w:sz w:val="24"/>
          <w:szCs w:val="24"/>
          <w:bdr w:val="none" w:sz="0" w:space="0" w:color="auto" w:frame="1"/>
          <w:lang w:eastAsia="ru-RU"/>
        </w:rPr>
        <w:t>разряжания</w:t>
      </w:r>
      <w:proofErr w:type="spellEnd"/>
      <w:r w:rsidRPr="000E0C80">
        <w:rPr>
          <w:color w:val="000000" w:themeColor="text1"/>
          <w:sz w:val="24"/>
          <w:szCs w:val="24"/>
          <w:bdr w:val="none" w:sz="0" w:space="0" w:color="auto" w:frame="1"/>
          <w:lang w:eastAsia="ru-RU"/>
        </w:rPr>
        <w:t>, методов прицеливания и ведения стрельбы, а также настоящих Правил;</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4.7. производить пристрелку оружия только в местах, специально предназначенных для этой цели;</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4.8. при стрельбе учитывать траекторию полета пули, поражающих элементов метательного оружия, возможные негативные последствия при поражении цели, рикошете и промахе;</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4.9. по окончании стрельбы разрядить оружие;</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4.10. перевозить оружие разряженным и упакованным в транспортную тару, футляр или чехол. При перевозке патроны к оружию, поражающие элементы метательного оружия (далее — поражающие элементы) могут быть упакованы вместе с оружием без досылания их в патронник, снаряжения магазина или барабана;</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4.11. предотвращать падение оружия и патронов к нему.</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5. Запрещается: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5.1. без необходимости заряжать оружие, выключать предохранитель, накладывать палец на спусковой крючок до момента прицеливания;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5.2. направлять оружие, даже если оно не заряжено, в сторону людей, домашних животных, транспортных средств или по направлению их возможного появления, зданий, сооружений, проводов и опор линий электропередач, а также в иных опасных направлениях, за исключением случаев самообороны;</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5.3. хранить, носить, перевозить и использовать оружие и патроны к нему без соответствующего разрешения на их хранение и ношение;</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5.4. использовать для стрельбы неисправные либо поврежденные (имеющие трещины, забоины, вздутия, коррозию) оружие и патроны к нему, а также метательное оружие с явными дефектами (сколы, трещины, открученные винты, повреждения тетивы);</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 xml:space="preserve">5.5. применять патроны к оружию и поражающие элементы, не предназначенные для стрельбы из используемой модели оружия, патроны с самостоятельно увеличенным пороховым зарядом, поражающие элементы, изготовленные кустарным способом, патроны с истекшим сроком годности, </w:t>
      </w:r>
      <w:proofErr w:type="spellStart"/>
      <w:r w:rsidRPr="000E0C80">
        <w:rPr>
          <w:color w:val="000000" w:themeColor="text1"/>
          <w:sz w:val="24"/>
          <w:szCs w:val="24"/>
          <w:bdr w:val="none" w:sz="0" w:space="0" w:color="auto" w:frame="1"/>
          <w:lang w:eastAsia="ru-RU"/>
        </w:rPr>
        <w:t>осечные</w:t>
      </w:r>
      <w:proofErr w:type="spellEnd"/>
      <w:r w:rsidRPr="000E0C80">
        <w:rPr>
          <w:color w:val="000000" w:themeColor="text1"/>
          <w:sz w:val="24"/>
          <w:szCs w:val="24"/>
          <w:bdr w:val="none" w:sz="0" w:space="0" w:color="auto" w:frame="1"/>
          <w:lang w:eastAsia="ru-RU"/>
        </w:rPr>
        <w:t xml:space="preserve"> патроны;</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5.6. стрелять из неустойчивых положений или одновременно из нескольких стволов многоствольного оружия;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5.7. стрелять по неясно видимой цели, в условиях ограниченной видимости, а также на шум, шорох;</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lastRenderedPageBreak/>
        <w:t>5.8. самостоятельно производить ремонт составных частей и компонентов оружия, вносить в них конструктивные изменения;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5.9. оставлять оружие и патроны к нему вне специально оборудованных мест хранения, а также передавать их посторонним лицам;</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5.10. носить, перевозить и использовать оружие, снаряжать патроны к нему в состоянии, вызванном потреблением наркотических средств, психотропных, токсических и других одурманивающих веществ, и (или) в состоянии алкогольного опьянения, под воздействием лекарственных средств, снижающих внимание и быстроту реакции, а также в болезненном или утомленном состоянии, ставящем под угрозу безопасность людей и сохранность оружия и патронов к нему.</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ГАЗОВЫЕ ПИСТОЛЕТЫ И РЕВОЛЬВЕРЫ</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6. Владелец газовых пистолетов и револьверов (далее — газовое оружие) обязан:</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6.1. хранить, носить и перевозить патроны к газовому оружию в герметичной упаковке;</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6.2. после вскрытия упаковки с патронами к газовому оружию убедиться в отсутствии слезоточивых или раздражающих веществ в виде порошка на патронах и внутренних поверхностях упаковки;</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6.3. протирать патроны к газовому оружию тампоном, смоченным спиртом или спиртовым раствором, если после вскрытия упаковки с патронами ощущается воздействие слезоточивых или раздражающих веществ (чихание, першение в горле, жжение в глазах и носу, слезотечение, выделения из носа);</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 xml:space="preserve">6.4. при заряжании и </w:t>
      </w:r>
      <w:proofErr w:type="spellStart"/>
      <w:r w:rsidRPr="000E0C80">
        <w:rPr>
          <w:color w:val="000000" w:themeColor="text1"/>
          <w:sz w:val="24"/>
          <w:szCs w:val="24"/>
          <w:bdr w:val="none" w:sz="0" w:space="0" w:color="auto" w:frame="1"/>
          <w:lang w:eastAsia="ru-RU"/>
        </w:rPr>
        <w:t>разряжании</w:t>
      </w:r>
      <w:proofErr w:type="spellEnd"/>
      <w:r w:rsidRPr="000E0C80">
        <w:rPr>
          <w:color w:val="000000" w:themeColor="text1"/>
          <w:sz w:val="24"/>
          <w:szCs w:val="24"/>
          <w:bdr w:val="none" w:sz="0" w:space="0" w:color="auto" w:frame="1"/>
          <w:lang w:eastAsia="ru-RU"/>
        </w:rPr>
        <w:t xml:space="preserve"> направлять газовое оружие вверх либо в ином безопасном направлении;</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6.5. во избежание воздействия аэрозольного облака при выстреле держать газовое оружие в вытянутой руке, после выстрела сразу же отойти на несколько метров в сторону;</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6.6. не касаться лица, особенно глаз, руками, которые контактировали с патронами к газовому оружию, стреляными гильзами и деталями газового оружия;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6.7. после стрельбы газовое оружие почистить тканью, смоченной спиртом или спиртовым раствором, содержащим не менее 40 процентов спирта, и поместить в полиэтиленовый пакет.</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7. Запрещается: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7.1. использовать газовое оружие при встречном ветре и внутри замкнутого ограниченного пространства (в комнате, лифте, транспортном средстве), на расстоянии менее 1 метра от дульного среза до объекта поражения;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7.2. использовать патроны к газовому оружию, снаряженные пулевыми и дробовыми зарядами, веществами, не разрешенными к применению Министерством здравоохранения Республики Беларусь, случайно найденные патроны;</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7.3. при стрельбе из газового оружия со свободным ходом затвора держать такое оружие за затвор либо размещать руку в зоне его движения;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7.4. хранить газовое оружие и патроны к нему в одном помещении с горючими, легковоспламеняющимися и химически агрессивными материалами;</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7.5. носить газовое оружие, патроны к нему в карманах одежды, допускать нагрев и попадание на них грязи и атмосферных осадков;</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7.6. во избежание последствий затяжного выстрела открывать затвор (барабан) газового оружия ранее чем через 5 секунд после осечки;</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7.7. использовать случайно найденные патроны к газовому оружию.</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ОГНЕСТРЕЛЬНОЕ СПОРТИВНОЕ И ОХОТНИЧЬЕ ОРУЖИЕ</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8. Владелец огнестрельного спортивного и охотничьего оружия (далее — огнестрельное оружие) обязан:</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lastRenderedPageBreak/>
        <w:t>8.1. своевременно производить чистку и смазку канала ствола (стволов), составных частей огнестрельного оружия, не допускать образования на (в) них коррозии;</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 xml:space="preserve">8.2. при заряжании и </w:t>
      </w:r>
      <w:proofErr w:type="spellStart"/>
      <w:r w:rsidRPr="000E0C80">
        <w:rPr>
          <w:color w:val="000000" w:themeColor="text1"/>
          <w:sz w:val="24"/>
          <w:szCs w:val="24"/>
          <w:bdr w:val="none" w:sz="0" w:space="0" w:color="auto" w:frame="1"/>
          <w:lang w:eastAsia="ru-RU"/>
        </w:rPr>
        <w:t>разряжании</w:t>
      </w:r>
      <w:proofErr w:type="spellEnd"/>
      <w:r w:rsidRPr="000E0C80">
        <w:rPr>
          <w:color w:val="000000" w:themeColor="text1"/>
          <w:sz w:val="24"/>
          <w:szCs w:val="24"/>
          <w:bdr w:val="none" w:sz="0" w:space="0" w:color="auto" w:frame="1"/>
          <w:lang w:eastAsia="ru-RU"/>
        </w:rPr>
        <w:t xml:space="preserve"> направлять огнестрельное оружие вверх либо в ином безопасном направлении.</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9. Запрещается: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9.1. досылать патрон в патронник (барабан) огнестрельного оружия силой либо забивать его;</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9.2. во избежание последствий затяжного выстрела открывать затвор (барабан) огнестрельного оружия ранее чем через 5 секунд после осечки;</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9.3. использовать случайно найденные патроны;</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9.4. использовать огнестрельное оружие не по назначению;</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9.5. при стрельбе из огнестрельного оружия со свободным ходом затвора держать такое оружие за затвор либо размещать руку в зоне его движения;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9.6. хранить огнестрельное оружие и патроны к нему в одном помещении с горючими, легковоспламеняющимися и химически агрессивными материалами;</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9.7. носить короткоствольное огнестрельное оружие в карманах одежды.</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ПНЕВМАТИЧЕСКОЕ ОРУЖИЕ С ДУЛЬНОЙ ЭНЕРГИЕЙ СВЫШЕ 7.5 ДЖ</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 xml:space="preserve">10. Владелец пневматического оружия с дульной энергией свыше 7.5 Дж (далее — пневматическое оружие) обязан при заряжании и </w:t>
      </w:r>
      <w:proofErr w:type="spellStart"/>
      <w:r w:rsidRPr="000E0C80">
        <w:rPr>
          <w:rFonts w:ascii="Arial" w:hAnsi="Arial" w:cs="Arial"/>
          <w:b/>
          <w:bCs/>
          <w:color w:val="000000" w:themeColor="text1"/>
          <w:sz w:val="24"/>
          <w:szCs w:val="24"/>
          <w:bdr w:val="none" w:sz="0" w:space="0" w:color="auto" w:frame="1"/>
          <w:lang w:eastAsia="ru-RU"/>
        </w:rPr>
        <w:t>разряжании</w:t>
      </w:r>
      <w:proofErr w:type="spellEnd"/>
      <w:r w:rsidRPr="000E0C80">
        <w:rPr>
          <w:rFonts w:ascii="Arial" w:hAnsi="Arial" w:cs="Arial"/>
          <w:b/>
          <w:bCs/>
          <w:color w:val="000000" w:themeColor="text1"/>
          <w:sz w:val="24"/>
          <w:szCs w:val="24"/>
          <w:bdr w:val="none" w:sz="0" w:space="0" w:color="auto" w:frame="1"/>
          <w:lang w:eastAsia="ru-RU"/>
        </w:rPr>
        <w:t xml:space="preserve"> направлять пневматическое оружие вверх либо в ином безопасном направлении.</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11. Запрещается: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 xml:space="preserve">11.1. ношение и перевозка в населенных пунктах пневматического оружия в </w:t>
      </w:r>
      <w:proofErr w:type="spellStart"/>
      <w:r w:rsidRPr="000E0C80">
        <w:rPr>
          <w:color w:val="000000" w:themeColor="text1"/>
          <w:sz w:val="24"/>
          <w:szCs w:val="24"/>
          <w:bdr w:val="none" w:sz="0" w:space="0" w:color="auto" w:frame="1"/>
          <w:lang w:eastAsia="ru-RU"/>
        </w:rPr>
        <w:t>незачехленном</w:t>
      </w:r>
      <w:proofErr w:type="spellEnd"/>
      <w:r w:rsidRPr="000E0C80">
        <w:rPr>
          <w:color w:val="000000" w:themeColor="text1"/>
          <w:sz w:val="24"/>
          <w:szCs w:val="24"/>
          <w:bdr w:val="none" w:sz="0" w:space="0" w:color="auto" w:frame="1"/>
          <w:lang w:eastAsia="ru-RU"/>
        </w:rPr>
        <w:t xml:space="preserve"> виде, а также использование такого оружия в населенных пунктах вне стрелковых тиров, стрельбищ, стрелково-охотничьих стендов;</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11.2. использовать в качестве пуль предметы, специально не предназначенные для конкретной модели пневматического оружия;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11.3. повторно использовать стреляные пули;</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11.4. носить короткоствольное пневматическое оружие в карманах одежды.</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МЕТАТЕЛЬНОЕ ОРУЖИЕ</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14. Владелец метательного оружия обязан взводить, заряжать метательное оружие только на линии стрельбы и строго в направлении цели.</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b/>
          <w:bCs/>
          <w:color w:val="000000" w:themeColor="text1"/>
          <w:sz w:val="24"/>
          <w:szCs w:val="24"/>
          <w:bdr w:val="none" w:sz="0" w:space="0" w:color="auto" w:frame="1"/>
          <w:lang w:eastAsia="ru-RU"/>
        </w:rPr>
        <w:t>15. Запрещается: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15.1. передвигаться с заряженным, взведенным метательным оружием (кроме вольерной охоты);</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15.2. производить холостой выстрел (спуск тетивы без поражающего элемента), так как это приводит к выходу метательного оружия из строя;</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15.3. стрелять из метательного оружия вертикально вверх;</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15.4. передавать заряженное, взведенное метательное оружие другому лицу;</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15.5. оставлять метательное оружие заряженным, взведенным;</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color w:val="000000" w:themeColor="text1"/>
          <w:sz w:val="24"/>
          <w:szCs w:val="24"/>
          <w:bdr w:val="none" w:sz="0" w:space="0" w:color="auto" w:frame="1"/>
          <w:lang w:eastAsia="ru-RU"/>
        </w:rPr>
        <w:t>15.6. располагать пальцы и другие части тела в зоне движения тетивы.</w:t>
      </w:r>
    </w:p>
    <w:p w:rsidR="000E0C80" w:rsidRPr="000E0C80" w:rsidRDefault="000E0C80" w:rsidP="000E0C80">
      <w:pPr>
        <w:pStyle w:val="a6"/>
        <w:ind w:firstLine="851"/>
        <w:rPr>
          <w:rFonts w:ascii="Arial" w:hAnsi="Arial" w:cs="Arial"/>
          <w:color w:val="000000" w:themeColor="text1"/>
          <w:sz w:val="18"/>
          <w:szCs w:val="18"/>
          <w:lang w:eastAsia="ru-RU"/>
        </w:rPr>
      </w:pPr>
      <w:r w:rsidRPr="000E0C80">
        <w:rPr>
          <w:rFonts w:ascii="Arial" w:hAnsi="Arial" w:cs="Arial"/>
          <w:color w:val="000000" w:themeColor="text1"/>
          <w:sz w:val="18"/>
          <w:szCs w:val="18"/>
          <w:lang w:eastAsia="ru-RU"/>
        </w:rPr>
        <w:t> </w:t>
      </w:r>
    </w:p>
    <w:p w:rsidR="00124D9F" w:rsidRPr="000E0C80" w:rsidRDefault="005A7B3C" w:rsidP="000E0C80">
      <w:pPr>
        <w:pStyle w:val="a6"/>
        <w:ind w:firstLine="851"/>
        <w:rPr>
          <w:color w:val="000000" w:themeColor="text1"/>
        </w:rPr>
      </w:pPr>
      <w:bookmarkStart w:id="0" w:name="_GoBack"/>
      <w:bookmarkEnd w:id="0"/>
    </w:p>
    <w:sectPr w:rsidR="00124D9F" w:rsidRPr="000E0C80" w:rsidSect="005A7B3C">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9831CA"/>
    <w:multiLevelType w:val="multilevel"/>
    <w:tmpl w:val="BE8CB3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55527287"/>
    <w:multiLevelType w:val="multilevel"/>
    <w:tmpl w:val="0C0458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C80"/>
    <w:rsid w:val="000E0C80"/>
    <w:rsid w:val="005A7B3C"/>
    <w:rsid w:val="00746243"/>
    <w:rsid w:val="00A76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1B227"/>
  <w15:chartTrackingRefBased/>
  <w15:docId w15:val="{DD1D5D0A-4B42-4FEB-956A-D533A078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E0C8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0C80"/>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0E0C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E0C80"/>
    <w:rPr>
      <w:b/>
      <w:bCs/>
    </w:rPr>
  </w:style>
  <w:style w:type="character" w:styleId="a5">
    <w:name w:val="Hyperlink"/>
    <w:basedOn w:val="a0"/>
    <w:uiPriority w:val="99"/>
    <w:semiHidden/>
    <w:unhideWhenUsed/>
    <w:rsid w:val="000E0C80"/>
    <w:rPr>
      <w:color w:val="0000FF"/>
      <w:u w:val="single"/>
    </w:rPr>
  </w:style>
  <w:style w:type="paragraph" w:styleId="a6">
    <w:name w:val="No Spacing"/>
    <w:uiPriority w:val="1"/>
    <w:qFormat/>
    <w:rsid w:val="000E0C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224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lenad-grodno.gov.by/state/AH:-1.180032326114/180190472762" TargetMode="External"/><Relationship Id="rId3" Type="http://schemas.openxmlformats.org/officeDocument/2006/relationships/settings" Target="settings.xml"/><Relationship Id="rId7" Type="http://schemas.openxmlformats.org/officeDocument/2006/relationships/hyperlink" Target="http://glenad-grodno.gov.by/state/AH:-1.180032326114/1801904727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lenad-grodno.gov.by/state/AH:-1.180032326114/180190472756" TargetMode="External"/><Relationship Id="rId11" Type="http://schemas.openxmlformats.org/officeDocument/2006/relationships/theme" Target="theme/theme1.xml"/><Relationship Id="rId5" Type="http://schemas.openxmlformats.org/officeDocument/2006/relationships/hyperlink" Target="http://glenad-grodno.gov.by/state/AH:-1.180032326114/18015985955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lenad-grodno.gov.by/state/AH:-1.180032326114/1801904727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2270</Words>
  <Characters>12939</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21Admin</dc:creator>
  <cp:keywords/>
  <dc:description/>
  <cp:lastModifiedBy>21Admin</cp:lastModifiedBy>
  <cp:revision>2</cp:revision>
  <dcterms:created xsi:type="dcterms:W3CDTF">2023-01-06T09:01:00Z</dcterms:created>
  <dcterms:modified xsi:type="dcterms:W3CDTF">2023-01-06T09:43:00Z</dcterms:modified>
</cp:coreProperties>
</file>